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A88" w:rsidRDefault="000B7A88" w:rsidP="00A721EC">
      <w:pPr>
        <w:pStyle w:val="NormalWeb"/>
        <w:jc w:val="both"/>
        <w:rPr>
          <w:color w:val="000000"/>
          <w:sz w:val="27"/>
          <w:szCs w:val="27"/>
        </w:rPr>
      </w:pPr>
      <w:bookmarkStart w:id="0" w:name="_GoBack"/>
      <w:bookmarkEnd w:id="0"/>
      <w:r>
        <w:rPr>
          <w:color w:val="000000"/>
          <w:sz w:val="27"/>
          <w:szCs w:val="27"/>
        </w:rPr>
        <w:t>MODELOS DE RESUMO DE PROJETO DE PESQUISA</w:t>
      </w:r>
    </w:p>
    <w:p w:rsidR="000B7A88" w:rsidRDefault="000B7A88" w:rsidP="00A721EC">
      <w:pPr>
        <w:pStyle w:val="NormalWeb"/>
        <w:jc w:val="both"/>
        <w:rPr>
          <w:color w:val="000000"/>
          <w:sz w:val="27"/>
          <w:szCs w:val="27"/>
        </w:rPr>
      </w:pPr>
      <w:r>
        <w:rPr>
          <w:color w:val="000000"/>
          <w:sz w:val="27"/>
          <w:szCs w:val="27"/>
        </w:rPr>
        <w:t xml:space="preserve">Modelo </w:t>
      </w:r>
      <w:proofErr w:type="gramStart"/>
      <w:r>
        <w:rPr>
          <w:color w:val="000000"/>
          <w:sz w:val="27"/>
          <w:szCs w:val="27"/>
        </w:rPr>
        <w:t>1</w:t>
      </w:r>
      <w:proofErr w:type="gramEnd"/>
    </w:p>
    <w:p w:rsidR="000B7A88" w:rsidRDefault="000B7A88" w:rsidP="00A721EC">
      <w:pPr>
        <w:pStyle w:val="NormalWeb"/>
        <w:jc w:val="both"/>
        <w:rPr>
          <w:color w:val="000000"/>
          <w:sz w:val="27"/>
          <w:szCs w:val="27"/>
        </w:rPr>
      </w:pPr>
      <w:r>
        <w:rPr>
          <w:color w:val="000000"/>
          <w:sz w:val="27"/>
          <w:szCs w:val="27"/>
        </w:rPr>
        <w:t xml:space="preserve">A proteção e a qualidade da água estão entre as grandes preocupações da humanidade. A contaminação da água potável, principalmente nos grandes centros urbanos, pode ser proveniente de esgotos ou substâncias químicas, decorrentes da atividade humana, doméstica ou de origem industrial. No presente trabalho, foram desenvolvidos procedimentos analíticos para a determinação de </w:t>
      </w:r>
      <w:proofErr w:type="spellStart"/>
      <w:r>
        <w:rPr>
          <w:color w:val="000000"/>
          <w:sz w:val="27"/>
          <w:szCs w:val="27"/>
        </w:rPr>
        <w:t>anions</w:t>
      </w:r>
      <w:proofErr w:type="spellEnd"/>
      <w:r>
        <w:rPr>
          <w:color w:val="000000"/>
          <w:sz w:val="27"/>
          <w:szCs w:val="27"/>
        </w:rPr>
        <w:t xml:space="preserve"> e compostos orgânicos, que representam risco à saúde e que, geralmente, podem ser encontrados em água potável. Os </w:t>
      </w:r>
      <w:proofErr w:type="spellStart"/>
      <w:r>
        <w:rPr>
          <w:color w:val="000000"/>
          <w:sz w:val="27"/>
          <w:szCs w:val="27"/>
        </w:rPr>
        <w:t>anions</w:t>
      </w:r>
      <w:proofErr w:type="spellEnd"/>
      <w:r>
        <w:rPr>
          <w:color w:val="000000"/>
          <w:sz w:val="27"/>
          <w:szCs w:val="27"/>
        </w:rPr>
        <w:t xml:space="preserve"> foram quantificados através de cromatografia de íons (</w:t>
      </w:r>
      <w:proofErr w:type="spellStart"/>
      <w:r>
        <w:rPr>
          <w:color w:val="000000"/>
          <w:sz w:val="27"/>
          <w:szCs w:val="27"/>
        </w:rPr>
        <w:t>Dionex</w:t>
      </w:r>
      <w:proofErr w:type="spellEnd"/>
      <w:r>
        <w:rPr>
          <w:color w:val="000000"/>
          <w:sz w:val="27"/>
          <w:szCs w:val="27"/>
        </w:rPr>
        <w:t xml:space="preserve"> 4000i) e benzeno, tolueno e xileno (BTX) e </w:t>
      </w:r>
      <w:proofErr w:type="spellStart"/>
      <w:r>
        <w:rPr>
          <w:color w:val="000000"/>
          <w:sz w:val="27"/>
          <w:szCs w:val="27"/>
        </w:rPr>
        <w:t>trihalometanos</w:t>
      </w:r>
      <w:proofErr w:type="spellEnd"/>
      <w:r>
        <w:rPr>
          <w:color w:val="000000"/>
          <w:sz w:val="27"/>
          <w:szCs w:val="27"/>
        </w:rPr>
        <w:t xml:space="preserve"> por cromatografia em fase gasosa (</w:t>
      </w:r>
      <w:proofErr w:type="spellStart"/>
      <w:r>
        <w:rPr>
          <w:color w:val="000000"/>
          <w:sz w:val="27"/>
          <w:szCs w:val="27"/>
        </w:rPr>
        <w:t>Varian</w:t>
      </w:r>
      <w:proofErr w:type="spellEnd"/>
      <w:r>
        <w:rPr>
          <w:color w:val="000000"/>
          <w:sz w:val="27"/>
          <w:szCs w:val="27"/>
        </w:rPr>
        <w:t xml:space="preserve"> 3400). Os íons cloreto, fluoreto, nitrato e sulfato estiveram na faixa de 0,4 </w:t>
      </w:r>
      <w:proofErr w:type="gramStart"/>
      <w:r>
        <w:rPr>
          <w:color w:val="000000"/>
          <w:sz w:val="27"/>
          <w:szCs w:val="27"/>
        </w:rPr>
        <w:t>mgL</w:t>
      </w:r>
      <w:proofErr w:type="gramEnd"/>
      <w:r>
        <w:rPr>
          <w:color w:val="000000"/>
          <w:sz w:val="27"/>
          <w:szCs w:val="27"/>
        </w:rPr>
        <w:t xml:space="preserve">-1(F-) a 99 mgL-1(Cl-). Não foi detectada a presença dos íons nitrito, </w:t>
      </w:r>
      <w:proofErr w:type="spellStart"/>
      <w:r>
        <w:rPr>
          <w:color w:val="000000"/>
          <w:sz w:val="27"/>
          <w:szCs w:val="27"/>
        </w:rPr>
        <w:t>bromato</w:t>
      </w:r>
      <w:proofErr w:type="spellEnd"/>
      <w:r>
        <w:rPr>
          <w:color w:val="000000"/>
          <w:sz w:val="27"/>
          <w:szCs w:val="27"/>
        </w:rPr>
        <w:t xml:space="preserve"> ou BTX. Os </w:t>
      </w:r>
      <w:proofErr w:type="spellStart"/>
      <w:r>
        <w:rPr>
          <w:color w:val="000000"/>
          <w:sz w:val="27"/>
          <w:szCs w:val="27"/>
        </w:rPr>
        <w:t>trihalometanos</w:t>
      </w:r>
      <w:proofErr w:type="spellEnd"/>
      <w:r>
        <w:rPr>
          <w:color w:val="000000"/>
          <w:sz w:val="27"/>
          <w:szCs w:val="27"/>
        </w:rPr>
        <w:t xml:space="preserve"> determinados (clorofórmio, </w:t>
      </w:r>
      <w:proofErr w:type="spellStart"/>
      <w:r>
        <w:rPr>
          <w:color w:val="000000"/>
          <w:sz w:val="27"/>
          <w:szCs w:val="27"/>
        </w:rPr>
        <w:t>bromofórmio</w:t>
      </w:r>
      <w:proofErr w:type="spellEnd"/>
      <w:r>
        <w:rPr>
          <w:color w:val="000000"/>
          <w:sz w:val="27"/>
          <w:szCs w:val="27"/>
        </w:rPr>
        <w:t xml:space="preserve">, </w:t>
      </w:r>
      <w:proofErr w:type="spellStart"/>
      <w:r>
        <w:rPr>
          <w:color w:val="000000"/>
          <w:sz w:val="27"/>
          <w:szCs w:val="27"/>
        </w:rPr>
        <w:t>bromodiclorometano</w:t>
      </w:r>
      <w:proofErr w:type="spellEnd"/>
      <w:r>
        <w:rPr>
          <w:color w:val="000000"/>
          <w:sz w:val="27"/>
          <w:szCs w:val="27"/>
        </w:rPr>
        <w:t xml:space="preserve"> e </w:t>
      </w:r>
      <w:proofErr w:type="spellStart"/>
      <w:r>
        <w:rPr>
          <w:color w:val="000000"/>
          <w:sz w:val="27"/>
          <w:szCs w:val="27"/>
        </w:rPr>
        <w:t>dibromoclorometano</w:t>
      </w:r>
      <w:proofErr w:type="spellEnd"/>
      <w:r>
        <w:rPr>
          <w:color w:val="000000"/>
          <w:sz w:val="27"/>
          <w:szCs w:val="27"/>
        </w:rPr>
        <w:t xml:space="preserve">) estiveram na faixa de concentração de </w:t>
      </w:r>
      <w:proofErr w:type="gramStart"/>
      <w:r>
        <w:rPr>
          <w:color w:val="000000"/>
          <w:sz w:val="27"/>
          <w:szCs w:val="27"/>
        </w:rPr>
        <w:t>4</w:t>
      </w:r>
      <w:proofErr w:type="gramEnd"/>
      <w:r>
        <w:rPr>
          <w:color w:val="000000"/>
          <w:sz w:val="27"/>
          <w:szCs w:val="27"/>
        </w:rPr>
        <w:t xml:space="preserve"> mgL-1 a 100 mgL-1. Estes compostos podem ter sido formados em processos de desinfecção da água. Os procedimentos desenvolvidos mostraram-se adequados para a determinação analítica das espécies analisadas. Os resultados preliminares indicaram valores de concentrações para as diversas espécies, em “água residencial” e água “mineral”, dentro de faixas permitidas pela portaria 1469 do Ministério da Saúde, o que evidencia a ausência de contaminações significativas. </w:t>
      </w:r>
    </w:p>
    <w:p w:rsidR="000B7A88" w:rsidRDefault="000B7A88" w:rsidP="00A721EC">
      <w:pPr>
        <w:pStyle w:val="NormalWeb"/>
        <w:jc w:val="both"/>
        <w:rPr>
          <w:color w:val="000000"/>
          <w:sz w:val="27"/>
          <w:szCs w:val="27"/>
        </w:rPr>
      </w:pPr>
      <w:r>
        <w:rPr>
          <w:color w:val="000000"/>
          <w:sz w:val="27"/>
          <w:szCs w:val="27"/>
        </w:rPr>
        <w:t>(Fonte: http://www.semppg.ufba.br/5elatório5_inscricao.html)</w:t>
      </w:r>
    </w:p>
    <w:p w:rsidR="000B7A88" w:rsidRDefault="000B7A88" w:rsidP="00A721EC">
      <w:pPr>
        <w:pStyle w:val="NormalWeb"/>
        <w:jc w:val="both"/>
        <w:rPr>
          <w:color w:val="000000"/>
          <w:sz w:val="27"/>
          <w:szCs w:val="27"/>
        </w:rPr>
      </w:pPr>
      <w:r>
        <w:rPr>
          <w:color w:val="000000"/>
          <w:sz w:val="27"/>
          <w:szCs w:val="27"/>
        </w:rPr>
        <w:t xml:space="preserve">Modelo </w:t>
      </w:r>
      <w:proofErr w:type="gramStart"/>
      <w:r>
        <w:rPr>
          <w:color w:val="000000"/>
          <w:sz w:val="27"/>
          <w:szCs w:val="27"/>
        </w:rPr>
        <w:t>2</w:t>
      </w:r>
      <w:proofErr w:type="gramEnd"/>
    </w:p>
    <w:p w:rsidR="000B7A88" w:rsidRDefault="000B7A88" w:rsidP="00A721EC">
      <w:pPr>
        <w:pStyle w:val="NormalWeb"/>
        <w:jc w:val="both"/>
        <w:rPr>
          <w:color w:val="000000"/>
          <w:sz w:val="27"/>
          <w:szCs w:val="27"/>
        </w:rPr>
      </w:pPr>
      <w:r>
        <w:rPr>
          <w:color w:val="000000"/>
          <w:sz w:val="27"/>
          <w:szCs w:val="27"/>
        </w:rPr>
        <w:t xml:space="preserve">O estudo desenvolvido teve como enfoque a análise da produção do espaço urbano-metropolitano da cidade do Salvador, na perspectiva de uso e apropriação dos espaços públicos, tendo como objeto de estudo o Dique do </w:t>
      </w:r>
      <w:proofErr w:type="spellStart"/>
      <w:r>
        <w:rPr>
          <w:color w:val="000000"/>
          <w:sz w:val="27"/>
          <w:szCs w:val="27"/>
        </w:rPr>
        <w:t>Tororó</w:t>
      </w:r>
      <w:proofErr w:type="spellEnd"/>
      <w:r>
        <w:rPr>
          <w:color w:val="000000"/>
          <w:sz w:val="27"/>
          <w:szCs w:val="27"/>
        </w:rPr>
        <w:t xml:space="preserve">. Esse parque constitui um importante equipamento de lazer e uso público da população do entorno da cidade, sendo verificado em seu registro uma intervenção pública de revitalização/requalificação, o que acarretou uma modificação na sua estrutura espacial e funcional. As mudanças espaciais podem ser percebidas pela implantação de novos equipamentos, tais como: pista de </w:t>
      </w:r>
      <w:proofErr w:type="spellStart"/>
      <w:proofErr w:type="gramStart"/>
      <w:r>
        <w:rPr>
          <w:color w:val="000000"/>
          <w:sz w:val="27"/>
          <w:szCs w:val="27"/>
        </w:rPr>
        <w:t>cooper</w:t>
      </w:r>
      <w:proofErr w:type="spellEnd"/>
      <w:proofErr w:type="gramEnd"/>
      <w:r>
        <w:rPr>
          <w:color w:val="000000"/>
          <w:sz w:val="27"/>
          <w:szCs w:val="27"/>
        </w:rPr>
        <w:t>, parques infantis e restaurantes.</w:t>
      </w:r>
    </w:p>
    <w:p w:rsidR="000B7A88" w:rsidRDefault="000B7A88" w:rsidP="00A721EC">
      <w:pPr>
        <w:pStyle w:val="NormalWeb"/>
        <w:jc w:val="both"/>
        <w:rPr>
          <w:color w:val="000000"/>
          <w:sz w:val="27"/>
          <w:szCs w:val="27"/>
        </w:rPr>
      </w:pPr>
      <w:r>
        <w:rPr>
          <w:color w:val="000000"/>
          <w:sz w:val="27"/>
          <w:szCs w:val="27"/>
        </w:rPr>
        <w:t>Seguindo esse novo arranjo, o Dique passa a funcionar como um espaço de múltiplo uso, que na sua forma urbanística corresponde ao uso simultâneo do espaço para diferentes atividades. A distribuição dessas diversas atividades segue uma forma normatizada, disposta em áreas claramente delimitadas por categorias de uso. As categorias identificadas são: caminhante (utilizam a área para caminhada</w:t>
      </w:r>
      <w:proofErr w:type="gramStart"/>
      <w:r>
        <w:rPr>
          <w:color w:val="000000"/>
          <w:sz w:val="27"/>
          <w:szCs w:val="27"/>
        </w:rPr>
        <w:t>),</w:t>
      </w:r>
      <w:proofErr w:type="gramEnd"/>
      <w:r>
        <w:rPr>
          <w:color w:val="000000"/>
          <w:sz w:val="27"/>
          <w:szCs w:val="27"/>
        </w:rPr>
        <w:t xml:space="preserve">corredor (utilizam para correr), passante (usam como ligação </w:t>
      </w:r>
      <w:r>
        <w:rPr>
          <w:color w:val="000000"/>
          <w:sz w:val="27"/>
          <w:szCs w:val="27"/>
        </w:rPr>
        <w:lastRenderedPageBreak/>
        <w:t>entre bairros da cidade), passeador(público que utiliza a passeio), crianças (usam os parquinhos) e comensais (público dos restaurantes).</w:t>
      </w:r>
    </w:p>
    <w:p w:rsidR="000B7A88" w:rsidRDefault="000B7A88" w:rsidP="00A721EC">
      <w:pPr>
        <w:pStyle w:val="NormalWeb"/>
        <w:jc w:val="both"/>
        <w:rPr>
          <w:color w:val="000000"/>
          <w:sz w:val="27"/>
          <w:szCs w:val="27"/>
        </w:rPr>
      </w:pPr>
      <w:r>
        <w:rPr>
          <w:color w:val="000000"/>
          <w:sz w:val="27"/>
          <w:szCs w:val="27"/>
        </w:rPr>
        <w:t>A partir de tais transformações ocorridas, buscou-se verificar as diferenciações do seu uso e de sua apropriação, assim como os possíveis conflitos gerados dessa relação e seus rebatimentos na dinâmica urbana. Como suporte a essa investigação, foram obtidos dados de 6elatório6 média de usuários por categoria, perfil socioeconômico e a percepção de cada usuário acerca do espaço.</w:t>
      </w:r>
    </w:p>
    <w:p w:rsidR="000B7A88" w:rsidRDefault="000B7A88" w:rsidP="00A721EC">
      <w:pPr>
        <w:pStyle w:val="NormalWeb"/>
        <w:jc w:val="both"/>
        <w:rPr>
          <w:color w:val="000000"/>
          <w:sz w:val="27"/>
          <w:szCs w:val="27"/>
        </w:rPr>
      </w:pPr>
      <w:r>
        <w:rPr>
          <w:color w:val="000000"/>
          <w:sz w:val="27"/>
          <w:szCs w:val="27"/>
        </w:rPr>
        <w:t>Fonte: http://www.peu.igeo.ufba.br/6elatório_final_Gilma.pdf</w:t>
      </w:r>
    </w:p>
    <w:p w:rsidR="000B7A88" w:rsidRDefault="000B7A88" w:rsidP="00A721EC">
      <w:pPr>
        <w:pStyle w:val="NormalWeb"/>
        <w:jc w:val="both"/>
        <w:rPr>
          <w:color w:val="000000"/>
          <w:sz w:val="27"/>
          <w:szCs w:val="27"/>
        </w:rPr>
      </w:pPr>
      <w:r>
        <w:rPr>
          <w:color w:val="000000"/>
          <w:sz w:val="27"/>
          <w:szCs w:val="27"/>
        </w:rPr>
        <w:t>* O modelo de resumo de projeto de pesquisa foi extraído do site &lt;http://www.semppg.ufba.br/instrucoes_inscricao.html&gt;, em 02 de maio de 2010, e refere-se ao resumo fornecido pelo X Seminário de Pesquisa e Pós-Graduação (X SEMPPG)</w:t>
      </w:r>
    </w:p>
    <w:p w:rsidR="000B7A88" w:rsidRDefault="000B7A88" w:rsidP="000B7A88">
      <w:pPr>
        <w:pStyle w:val="NormalWeb"/>
        <w:rPr>
          <w:color w:val="000000"/>
          <w:sz w:val="27"/>
          <w:szCs w:val="27"/>
        </w:rPr>
      </w:pPr>
      <w:r>
        <w:rPr>
          <w:color w:val="000000"/>
          <w:sz w:val="27"/>
          <w:szCs w:val="27"/>
        </w:rPr>
        <w:t xml:space="preserve">XXVIII Seminário Estudantil de Pesquisa (XXVIII SEMEP), realizado na Universidade Federal da Bahia nos dias 11, 12 e 13 de novembro de 2009. Ressalte-se que, por opção da Comissão Organizadora do SEMIP, o documento disponibilizado não </w:t>
      </w:r>
      <w:proofErr w:type="gramStart"/>
      <w:r>
        <w:rPr>
          <w:color w:val="000000"/>
          <w:sz w:val="27"/>
          <w:szCs w:val="27"/>
        </w:rPr>
        <w:t>refere-se</w:t>
      </w:r>
      <w:proofErr w:type="gramEnd"/>
      <w:r>
        <w:rPr>
          <w:color w:val="000000"/>
          <w:sz w:val="27"/>
          <w:szCs w:val="27"/>
        </w:rPr>
        <w:t xml:space="preserve"> a trabalho científico relacionado ao Direito, de modo a não vincular a temática dos trabalhos inscritos.</w:t>
      </w:r>
    </w:p>
    <w:p w:rsidR="000E66AE" w:rsidRDefault="004C167A"/>
    <w:sectPr w:rsidR="000E66A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A88"/>
    <w:rsid w:val="000B7A88"/>
    <w:rsid w:val="00151A73"/>
    <w:rsid w:val="00196F84"/>
    <w:rsid w:val="004C167A"/>
    <w:rsid w:val="00A721E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0B7A88"/>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0B7A88"/>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87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3212</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pedroavilaweber</dc:creator>
  <cp:lastModifiedBy>tath lorena</cp:lastModifiedBy>
  <cp:revision>2</cp:revision>
  <dcterms:created xsi:type="dcterms:W3CDTF">2017-09-15T23:25:00Z</dcterms:created>
  <dcterms:modified xsi:type="dcterms:W3CDTF">2017-09-15T23:25:00Z</dcterms:modified>
</cp:coreProperties>
</file>